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F" w:rsidRPr="00232F64" w:rsidRDefault="006C2A19" w:rsidP="002A5A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15240</wp:posOffset>
            </wp:positionV>
            <wp:extent cx="7058025" cy="9544050"/>
            <wp:effectExtent l="19050" t="0" r="9525" b="0"/>
            <wp:wrapNone/>
            <wp:docPr id="1" name="Рисунок 1" descr="D:\Документы\Положения 2018 г\Переделанные\Скан положения\Новы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я 2018 г\Переделанные\Скан положения\Новые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FFF" w:rsidRPr="00232F64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</w:p>
    <w:p w:rsidR="00782BE0" w:rsidRDefault="00782BE0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6C2A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A19" w:rsidRDefault="006C2A19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F64" w:rsidRPr="00232F64" w:rsidRDefault="00232F64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FFF" w:rsidRPr="00232F64" w:rsidRDefault="00EF4FFF" w:rsidP="002A5AB9">
      <w:pPr>
        <w:rPr>
          <w:rFonts w:ascii="Times New Roman" w:hAnsi="Times New Roman"/>
          <w:b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232F64">
        <w:rPr>
          <w:rFonts w:ascii="Times New Roman" w:hAnsi="Times New Roman"/>
          <w:b/>
          <w:sz w:val="28"/>
          <w:szCs w:val="28"/>
          <w:lang w:val="ru-RU"/>
        </w:rPr>
        <w:t xml:space="preserve">2. Конфликтная комиссия  имеет право: </w:t>
      </w:r>
    </w:p>
    <w:p w:rsidR="00EF4FFF" w:rsidRPr="00232F64" w:rsidRDefault="00232F64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2.1. п</w:t>
      </w:r>
      <w:r w:rsidR="00EF4FFF" w:rsidRPr="00232F64">
        <w:rPr>
          <w:rFonts w:ascii="Times New Roman" w:hAnsi="Times New Roman"/>
          <w:sz w:val="28"/>
          <w:szCs w:val="28"/>
          <w:lang w:val="ru-RU"/>
        </w:rPr>
        <w:t xml:space="preserve">ринимать     решения    по   каждому    спорному     вопросу,   относящемуся     к   компетенции. 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32F64">
        <w:rPr>
          <w:rFonts w:ascii="Times New Roman" w:hAnsi="Times New Roman"/>
          <w:sz w:val="28"/>
          <w:szCs w:val="28"/>
          <w:lang w:val="ru-RU"/>
        </w:rPr>
        <w:t xml:space="preserve"> 2.2.  о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бжалование принятого решения возможно в  отделе управления образованием;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2.3. формировать  предметную  комиссию  для  решения  вопроса  об  объективности  выставления         отметки   за   </w:t>
      </w:r>
      <w:proofErr w:type="gramStart"/>
      <w:r w:rsidRPr="00232F64">
        <w:rPr>
          <w:rFonts w:ascii="Times New Roman" w:hAnsi="Times New Roman"/>
          <w:sz w:val="28"/>
          <w:szCs w:val="28"/>
          <w:lang w:val="ru-RU"/>
        </w:rPr>
        <w:t>знания</w:t>
      </w:r>
      <w:proofErr w:type="gramEnd"/>
      <w:r w:rsidRPr="00232F64">
        <w:rPr>
          <w:rFonts w:ascii="Times New Roman" w:hAnsi="Times New Roman"/>
          <w:sz w:val="28"/>
          <w:szCs w:val="28"/>
          <w:lang w:val="ru-RU"/>
        </w:rPr>
        <w:t xml:space="preserve">   обучающегося   (решение   принимается   в   течение   3   дней   с   момента        поступления заявления, если срок ответа не оговорен дополнительно заявителем);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2.4.  запрашивать  дополнительную  документацию,  материалы  для  проведения  самостоятельного         изучения вопроса;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2.5.  рекомендовать,   приостанавливать   или   отменять   ранее   принятое   решение   на   основании         проведенного изучения при согласии конфликтующих сторон;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2.6. рекомендовать     изменения    в  локальных     актах  образовательного     учреждения     с  целью         демократизации основ управления или расширения прав обучающихся. </w:t>
      </w:r>
    </w:p>
    <w:p w:rsidR="00232F64" w:rsidRDefault="00EF4FFF" w:rsidP="002A5AB9">
      <w:pPr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EF4FFF" w:rsidRPr="00232F64" w:rsidRDefault="00EF4FFF" w:rsidP="00232F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2F64">
        <w:rPr>
          <w:rFonts w:ascii="Times New Roman" w:hAnsi="Times New Roman"/>
          <w:b/>
          <w:sz w:val="28"/>
          <w:szCs w:val="28"/>
          <w:lang w:val="ru-RU"/>
        </w:rPr>
        <w:t>3. Порядок создания предметной комиссии.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232F64">
        <w:rPr>
          <w:rFonts w:ascii="Times New Roman" w:hAnsi="Times New Roman"/>
          <w:sz w:val="28"/>
          <w:szCs w:val="28"/>
          <w:lang w:val="ru-RU"/>
        </w:rPr>
        <w:t>3.1</w:t>
      </w:r>
      <w:r w:rsidR="00232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F64">
        <w:rPr>
          <w:rFonts w:ascii="Times New Roman" w:hAnsi="Times New Roman"/>
          <w:sz w:val="28"/>
          <w:szCs w:val="28"/>
          <w:lang w:val="ru-RU"/>
        </w:rPr>
        <w:t>Комиссия создается приказом директора школы не позднее суток после окончания экзамена         и получения заявления выпускника или родителя выпускника (законного представителя) о         несогласии с оценкой, выставленной в ходе государственной (итоговой) аттестации на устных         экзаменах и не позднее трехдневного срока со дня получения заявления учащихся 7,8,10         классов или их родителей (законных представителей) о несогласии с оценкой, выставленной в         ходе промежуточной аттестации</w:t>
      </w:r>
      <w:proofErr w:type="gramEnd"/>
      <w:r w:rsidRPr="00232F64">
        <w:rPr>
          <w:rFonts w:ascii="Times New Roman" w:hAnsi="Times New Roman"/>
          <w:sz w:val="28"/>
          <w:szCs w:val="28"/>
          <w:lang w:val="ru-RU"/>
        </w:rPr>
        <w:t xml:space="preserve"> при проведении итоговых контрольных работ. 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   3.2. Комиссия состоит из председателя экзаменационной комиссии и экзаменующего учителя,         работавших на экзамене или учителя и ассистента, работавших при проведении итоговых         контрольных работ, послуживших поводом для конфликта, с одной стороны, и двух других         учителей данного предмета или образовательной области, не принимавших участие в работе         экзаменационной комиссии, с другой стороны.  </w:t>
      </w:r>
    </w:p>
    <w:p w:rsidR="00232F64" w:rsidRDefault="00EF4FFF" w:rsidP="002A5AB9">
      <w:pPr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EF4FFF" w:rsidRPr="00A76F74" w:rsidRDefault="00EF4FFF" w:rsidP="00232F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6F74">
        <w:rPr>
          <w:rFonts w:ascii="Times New Roman" w:hAnsi="Times New Roman"/>
          <w:b/>
          <w:sz w:val="28"/>
          <w:szCs w:val="28"/>
          <w:lang w:val="ru-RU"/>
        </w:rPr>
        <w:t>4. Порядок рассмотрения заявлений</w:t>
      </w:r>
    </w:p>
    <w:p w:rsidR="00EF4FFF" w:rsidRPr="00232F64" w:rsidRDefault="00EF4FFF" w:rsidP="00232F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>4.1.</w:t>
      </w:r>
      <w:r w:rsidR="00232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Заявления выпускников, учащихся и их родителей (законных представителей) администрация     школы направляет в конфликтную комиссию. Комиссия регистрирует заявление в Журнале     регистрации заявлений граждан. </w:t>
      </w:r>
    </w:p>
    <w:p w:rsidR="00EF4FFF" w:rsidRPr="00232F64" w:rsidRDefault="00EF4FFF" w:rsidP="00232F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>4.2.</w:t>
      </w:r>
      <w:r w:rsidR="00232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Заявление о несогласии с отметкой за устный экзамен и контрольную работу при промежуточной     аттестации рассматривается конфликтной комиссией не позднее 3-х дней со дня регистрации. </w:t>
      </w:r>
    </w:p>
    <w:p w:rsidR="00EF4FFF" w:rsidRPr="00232F64" w:rsidRDefault="00EF4FFF" w:rsidP="00232F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>4.3.</w:t>
      </w:r>
      <w:r w:rsidR="00232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Заявление о несогласии с отметкой за устный экзамен на итоговой аттестации рассматривается  конфликтной комиссией не позднее 24 часов после его регистрации. </w:t>
      </w:r>
    </w:p>
    <w:p w:rsidR="00EF4FFF" w:rsidRPr="00232F64" w:rsidRDefault="00EF4FFF" w:rsidP="00232F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lastRenderedPageBreak/>
        <w:t>4.4</w:t>
      </w:r>
      <w:r w:rsidR="00232F6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заявлений комиссия выслушивает аргументацию выставленной отметки     одной стороны и обоснования несогласия с отметкой о стороны заявителя. Аргументация      фиксируется в протоколе комиссии. По результатам рассмотрения заявления комиссия готовит     заключение о соответствии или несоответствии выставленной отметки на экзамене, вносит его в     протокол. Протокол подписываю все члены комиссии. В случае разногласия между членами     комиссии, решение принимается простым большинством голосов. При равном количестве     голосов членов комиссии мнение председателя является решающим.  </w:t>
      </w:r>
    </w:p>
    <w:p w:rsidR="00EF4FFF" w:rsidRPr="00232F64" w:rsidRDefault="00EF4FFF" w:rsidP="00232F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4.5.В случае заключения конфликтной комиссии о несоответствии первоначально выставленной     отметки директор назначает срок повторной аттестации выпускника. </w:t>
      </w:r>
      <w:r w:rsidRPr="00A76F74">
        <w:rPr>
          <w:rFonts w:ascii="Times New Roman" w:hAnsi="Times New Roman"/>
          <w:sz w:val="28"/>
          <w:szCs w:val="28"/>
          <w:lang w:val="ru-RU"/>
        </w:rPr>
        <w:t xml:space="preserve">Повторную аттестацию     проводит конфликтная комиссия, используя прежний экзаменационный материал. </w:t>
      </w:r>
      <w:proofErr w:type="gramStart"/>
      <w:r w:rsidRPr="00232F64">
        <w:rPr>
          <w:rFonts w:ascii="Times New Roman" w:hAnsi="Times New Roman"/>
          <w:sz w:val="28"/>
          <w:szCs w:val="28"/>
          <w:lang w:val="ru-RU"/>
        </w:rPr>
        <w:t>Отметка,    выставленная конфликтной комиссией при повторной аттестации является</w:t>
      </w:r>
      <w:proofErr w:type="gramEnd"/>
      <w:r w:rsidRPr="00232F64">
        <w:rPr>
          <w:rFonts w:ascii="Times New Roman" w:hAnsi="Times New Roman"/>
          <w:sz w:val="28"/>
          <w:szCs w:val="28"/>
          <w:lang w:val="ru-RU"/>
        </w:rPr>
        <w:t xml:space="preserve"> окончательной.     Экзаменационная комиссия школы вносит эту отметку в отдельный протокол экзамена по     предмету.  </w:t>
      </w:r>
    </w:p>
    <w:p w:rsidR="00EF4FFF" w:rsidRPr="00232F64" w:rsidRDefault="00EF4FFF" w:rsidP="00232F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>4.6. В соответствии с положением о порядке рассмотрения заявлений г</w:t>
      </w:r>
      <w:r w:rsidR="00A76F74">
        <w:rPr>
          <w:rFonts w:ascii="Times New Roman" w:hAnsi="Times New Roman"/>
          <w:sz w:val="28"/>
          <w:szCs w:val="28"/>
          <w:lang w:val="ru-RU"/>
        </w:rPr>
        <w:t xml:space="preserve">раждан, по просьбе заявителей 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  председатель комиссии обязан в недельный срок после рассмотрения заявления дать им     письменный ответ. Копия ответа остается в документах конфликтной комиссии.  </w:t>
      </w:r>
    </w:p>
    <w:p w:rsidR="00232F64" w:rsidRDefault="00EF4FFF" w:rsidP="002A5AB9">
      <w:pPr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EF4FFF" w:rsidRPr="00232F64" w:rsidRDefault="00EF4FFF" w:rsidP="00232F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2F64">
        <w:rPr>
          <w:rFonts w:ascii="Times New Roman" w:hAnsi="Times New Roman"/>
          <w:b/>
          <w:sz w:val="28"/>
          <w:szCs w:val="28"/>
          <w:lang w:val="ru-RU"/>
        </w:rPr>
        <w:t>5.  Члены конфликтной комиссии обязаны: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-  присутствовать на всех заседаниях комиссии;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-  принимать активное участие в рассмотрении поданных заявлений;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-  принимать  решение  по  заявленному  вопросу  открытым  голосован</w:t>
      </w:r>
      <w:r w:rsidR="00232F64">
        <w:rPr>
          <w:rFonts w:ascii="Times New Roman" w:hAnsi="Times New Roman"/>
          <w:sz w:val="28"/>
          <w:szCs w:val="28"/>
          <w:lang w:val="ru-RU"/>
        </w:rPr>
        <w:t>ием  (решение  считается принятым,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 если  за  него  проголосовало  большинство  членов  комис</w:t>
      </w:r>
      <w:r w:rsidR="00232F64">
        <w:rPr>
          <w:rFonts w:ascii="Times New Roman" w:hAnsi="Times New Roman"/>
          <w:sz w:val="28"/>
          <w:szCs w:val="28"/>
          <w:lang w:val="ru-RU"/>
        </w:rPr>
        <w:t>сии  при  присутствии не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 менее 2/3 ее членов); </w:t>
      </w:r>
    </w:p>
    <w:p w:rsidR="00EF4FFF" w:rsidRPr="00232F64" w:rsidRDefault="00232F64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 принимать  </w:t>
      </w:r>
      <w:r w:rsidR="00EF4FFF" w:rsidRPr="00232F64">
        <w:rPr>
          <w:rFonts w:ascii="Times New Roman" w:hAnsi="Times New Roman"/>
          <w:sz w:val="28"/>
          <w:szCs w:val="28"/>
          <w:lang w:val="ru-RU"/>
        </w:rPr>
        <w:t xml:space="preserve">своевременно    решение     в 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установленные</w:t>
      </w:r>
      <w:r w:rsidR="00EF4FFF" w:rsidRPr="00232F64">
        <w:rPr>
          <w:rFonts w:ascii="Times New Roman" w:hAnsi="Times New Roman"/>
          <w:sz w:val="28"/>
          <w:szCs w:val="28"/>
          <w:lang w:val="ru-RU"/>
        </w:rPr>
        <w:t xml:space="preserve"> сроки,  </w:t>
      </w:r>
      <w:r>
        <w:rPr>
          <w:rFonts w:ascii="Times New Roman" w:hAnsi="Times New Roman"/>
          <w:sz w:val="28"/>
          <w:szCs w:val="28"/>
          <w:lang w:val="ru-RU"/>
        </w:rPr>
        <w:t xml:space="preserve"> если    не   оговорены  </w:t>
      </w:r>
      <w:r w:rsidR="00EF4FFF" w:rsidRPr="00232F64">
        <w:rPr>
          <w:rFonts w:ascii="Times New Roman" w:hAnsi="Times New Roman"/>
          <w:sz w:val="28"/>
          <w:szCs w:val="28"/>
          <w:lang w:val="ru-RU"/>
        </w:rPr>
        <w:t xml:space="preserve">дополнительные сроки рассмотрения заявления;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-  давать обоснованные ответы заявителям в устной или письменной </w:t>
      </w:r>
      <w:r w:rsidR="00232F64">
        <w:rPr>
          <w:rFonts w:ascii="Times New Roman" w:hAnsi="Times New Roman"/>
          <w:sz w:val="28"/>
          <w:szCs w:val="28"/>
          <w:lang w:val="ru-RU"/>
        </w:rPr>
        <w:t xml:space="preserve">форме в соответствии с их </w:t>
      </w:r>
      <w:r w:rsidRPr="00232F64">
        <w:rPr>
          <w:rFonts w:ascii="Times New Roman" w:hAnsi="Times New Roman"/>
          <w:sz w:val="28"/>
          <w:szCs w:val="28"/>
          <w:lang w:val="ru-RU"/>
        </w:rPr>
        <w:t xml:space="preserve">пожеланиями. </w:t>
      </w:r>
    </w:p>
    <w:p w:rsidR="00232F64" w:rsidRDefault="00EF4FFF" w:rsidP="002A5AB9">
      <w:pPr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232F64" w:rsidRPr="00232F64" w:rsidRDefault="00EF4FFF" w:rsidP="00232F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2F64">
        <w:rPr>
          <w:rFonts w:ascii="Times New Roman" w:hAnsi="Times New Roman"/>
          <w:b/>
          <w:sz w:val="28"/>
          <w:szCs w:val="28"/>
          <w:lang w:val="ru-RU"/>
        </w:rPr>
        <w:t>6. Организация деятельности конфликтной комиссии.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6.1.   Заседания конфликтной комиссии оформляются протоколом. </w:t>
      </w:r>
    </w:p>
    <w:p w:rsidR="00EF4FFF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6.2. Назначение членов комисс</w:t>
      </w:r>
      <w:proofErr w:type="gramStart"/>
      <w:r w:rsidRPr="00232F64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Pr="00232F64">
        <w:rPr>
          <w:rFonts w:ascii="Times New Roman" w:hAnsi="Times New Roman"/>
          <w:sz w:val="28"/>
          <w:szCs w:val="28"/>
          <w:lang w:val="ru-RU"/>
        </w:rPr>
        <w:t xml:space="preserve"> председателя оформляется приказом по школе. </w:t>
      </w:r>
    </w:p>
    <w:p w:rsidR="00E63579" w:rsidRPr="00232F64" w:rsidRDefault="00EF4FFF" w:rsidP="00232F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2F64">
        <w:rPr>
          <w:rFonts w:ascii="Times New Roman" w:hAnsi="Times New Roman"/>
          <w:sz w:val="28"/>
          <w:szCs w:val="28"/>
          <w:lang w:val="ru-RU"/>
        </w:rPr>
        <w:t xml:space="preserve"> 6.3.  Протоколы   заседаний   конфликтной     комиссии   сдаются   вместе   с   отчетом   за   учебный   год     педагогическому совету школы и хранятся в документах совета 3 года.                                                                                                </w:t>
      </w:r>
    </w:p>
    <w:sectPr w:rsidR="00E63579" w:rsidRPr="00232F64" w:rsidSect="00DC64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3EE"/>
    <w:multiLevelType w:val="hybridMultilevel"/>
    <w:tmpl w:val="136675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F8268F"/>
    <w:multiLevelType w:val="hybridMultilevel"/>
    <w:tmpl w:val="F426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6F4A"/>
    <w:multiLevelType w:val="hybridMultilevel"/>
    <w:tmpl w:val="E7928E3A"/>
    <w:lvl w:ilvl="0" w:tplc="74B00E1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FFF"/>
    <w:rsid w:val="000A1BC0"/>
    <w:rsid w:val="000D3892"/>
    <w:rsid w:val="00232F64"/>
    <w:rsid w:val="002A5AB9"/>
    <w:rsid w:val="002E5816"/>
    <w:rsid w:val="0030110A"/>
    <w:rsid w:val="005C44E9"/>
    <w:rsid w:val="006C2A19"/>
    <w:rsid w:val="00782BE0"/>
    <w:rsid w:val="009F0612"/>
    <w:rsid w:val="00A76F74"/>
    <w:rsid w:val="00C264FF"/>
    <w:rsid w:val="00D5451B"/>
    <w:rsid w:val="00DC6475"/>
    <w:rsid w:val="00E101D9"/>
    <w:rsid w:val="00E63579"/>
    <w:rsid w:val="00E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A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A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A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A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A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A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A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A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9"/>
    <w:pPr>
      <w:ind w:left="720"/>
      <w:contextualSpacing/>
    </w:pPr>
  </w:style>
  <w:style w:type="character" w:styleId="a4">
    <w:name w:val="Strong"/>
    <w:basedOn w:val="a0"/>
    <w:uiPriority w:val="22"/>
    <w:qFormat/>
    <w:rsid w:val="002A5AB9"/>
    <w:rPr>
      <w:b/>
      <w:bCs/>
    </w:rPr>
  </w:style>
  <w:style w:type="paragraph" w:styleId="a5">
    <w:name w:val="Normal (Web)"/>
    <w:basedOn w:val="a"/>
    <w:rsid w:val="00782BE0"/>
    <w:pPr>
      <w:ind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A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A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A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5A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A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A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A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A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AB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A5A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A5A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A5A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A5AB9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2A5AB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A5AB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A5AB9"/>
    <w:rPr>
      <w:i/>
    </w:rPr>
  </w:style>
  <w:style w:type="character" w:customStyle="1" w:styleId="22">
    <w:name w:val="Цитата 2 Знак"/>
    <w:basedOn w:val="a0"/>
    <w:link w:val="21"/>
    <w:uiPriority w:val="29"/>
    <w:rsid w:val="002A5AB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5AB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A5AB9"/>
    <w:rPr>
      <w:b/>
      <w:i/>
      <w:sz w:val="24"/>
    </w:rPr>
  </w:style>
  <w:style w:type="character" w:styleId="ae">
    <w:name w:val="Subtle Emphasis"/>
    <w:uiPriority w:val="19"/>
    <w:qFormat/>
    <w:rsid w:val="002A5AB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A5AB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A5AB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A5AB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A5AB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A5A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C2A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12</cp:revision>
  <cp:lastPrinted>2015-02-24T07:28:00Z</cp:lastPrinted>
  <dcterms:created xsi:type="dcterms:W3CDTF">2015-02-17T18:54:00Z</dcterms:created>
  <dcterms:modified xsi:type="dcterms:W3CDTF">2018-03-07T12:09:00Z</dcterms:modified>
</cp:coreProperties>
</file>